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Roboto" w:cs="Roboto" w:eastAsia="Roboto" w:hAnsi="Roboto"/>
          <w:color w:val="3c78d8"/>
          <w:sz w:val="36"/>
          <w:szCs w:val="36"/>
          <w:highlight w:val="white"/>
          <w:u w:val="single"/>
        </w:rPr>
      </w:pPr>
      <w:bookmarkStart w:colFirst="0" w:colLast="0" w:name="_7zdnyfs6vuyz" w:id="0"/>
      <w:bookmarkEnd w:id="0"/>
      <w:r w:rsidDel="00000000" w:rsidR="00000000" w:rsidRPr="00000000">
        <w:rPr>
          <w:rFonts w:ascii="Comfortaa" w:cs="Comfortaa" w:eastAsia="Comfortaa" w:hAnsi="Comfortaa"/>
          <w:color w:val="4a86e8"/>
          <w:sz w:val="36"/>
          <w:szCs w:val="36"/>
          <w:highlight w:val="white"/>
          <w:rtl w:val="0"/>
        </w:rPr>
        <w:t xml:space="preserve">Counting dollar bills</w:t>
      </w:r>
      <w:r w:rsidDel="00000000" w:rsidR="00000000" w:rsidRPr="00000000">
        <w:rPr>
          <w:rFonts w:ascii="Roboto" w:cs="Roboto" w:eastAsia="Roboto" w:hAnsi="Roboto"/>
          <w:color w:val="3c78d8"/>
          <w:sz w:val="36"/>
          <w:szCs w:val="3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color w:val="4a86e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Money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Counting dollar bills  is a prevocational and ILS skill needed for all students in order to establish a solid foundation towards purchasing and community skills. While completing this activity please make sure students are identifying different dollar amounts. 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color w:val="4a86e8"/>
          <w:sz w:val="28"/>
          <w:szCs w:val="28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See Video for example </w:t>
      </w:r>
      <w:commentRangeStart w:id="0"/>
      <w:commentRangeStart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897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Vicky Diaz" w:id="0" w:date="2020-03-25T20:26:18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+rmorgan@clcsped.com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the steps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Richard Morgan_</w:t>
      </w:r>
    </w:p>
  </w:comment>
  <w:comment w:author="Richard Morgan" w:id="1" w:date="2020-03-25T21:56:05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Why........... there’s a viiiiiiiiidddddddeeeeeoooooo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18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rive.google.com/drive/u/1/folders/1Wo9uFCN1PTb-3_pSeVemNFr3sDvCg6WM?ths=true" TargetMode="External"/><Relationship Id="rId8" Type="http://schemas.openxmlformats.org/officeDocument/2006/relationships/hyperlink" Target="https://youtu.be/ydoEYZiB3Q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